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28FE" w14:textId="21847114" w:rsidR="009151D8" w:rsidRPr="00F36563" w:rsidRDefault="00431677" w:rsidP="00F27C42">
      <w:pPr>
        <w:pStyle w:val="ListParagraph"/>
        <w:spacing w:beforeLines="20" w:before="48" w:afterLines="20" w:after="48"/>
        <w:ind w:left="450" w:hanging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63">
        <w:rPr>
          <w:rFonts w:ascii="Times New Roman" w:hAnsi="Times New Roman" w:cs="Times New Roman"/>
          <w:b/>
          <w:sz w:val="28"/>
          <w:szCs w:val="28"/>
        </w:rPr>
        <w:t>Large</w:t>
      </w:r>
      <w:r w:rsidR="009151D8" w:rsidRPr="00F36563">
        <w:rPr>
          <w:rFonts w:ascii="Times New Roman" w:hAnsi="Times New Roman" w:cs="Times New Roman"/>
          <w:b/>
          <w:sz w:val="28"/>
          <w:szCs w:val="28"/>
        </w:rPr>
        <w:t xml:space="preserve"> Animal</w:t>
      </w:r>
    </w:p>
    <w:p w14:paraId="11635485" w14:textId="07561F80" w:rsidR="009151D8" w:rsidRPr="00F36563" w:rsidRDefault="009151D8" w:rsidP="00F27C42">
      <w:pPr>
        <w:pStyle w:val="ListParagraph"/>
        <w:spacing w:beforeLines="20" w:before="48" w:afterLines="20" w:after="48"/>
        <w:ind w:left="450" w:hanging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63">
        <w:rPr>
          <w:rFonts w:ascii="Times New Roman" w:hAnsi="Times New Roman" w:cs="Times New Roman"/>
          <w:b/>
          <w:sz w:val="28"/>
          <w:szCs w:val="28"/>
        </w:rPr>
        <w:t>Addi</w:t>
      </w:r>
      <w:r w:rsidR="00833335" w:rsidRPr="00F36563">
        <w:rPr>
          <w:rFonts w:ascii="Times New Roman" w:hAnsi="Times New Roman" w:cs="Times New Roman"/>
          <w:b/>
          <w:sz w:val="28"/>
          <w:szCs w:val="28"/>
        </w:rPr>
        <w:t xml:space="preserve">tional Journal Article List </w:t>
      </w:r>
      <w:r w:rsidR="006C4B55">
        <w:rPr>
          <w:rFonts w:ascii="Times New Roman" w:hAnsi="Times New Roman" w:cs="Times New Roman"/>
          <w:b/>
          <w:sz w:val="28"/>
          <w:szCs w:val="28"/>
        </w:rPr>
        <w:t>202</w:t>
      </w:r>
      <w:r w:rsidR="006C4B55">
        <w:rPr>
          <w:rFonts w:ascii="Times New Roman" w:hAnsi="Times New Roman" w:cs="Times New Roman"/>
          <w:b/>
          <w:sz w:val="28"/>
          <w:szCs w:val="28"/>
        </w:rPr>
        <w:t>5</w:t>
      </w:r>
    </w:p>
    <w:p w14:paraId="2AAE274B" w14:textId="77777777" w:rsidR="009151D8" w:rsidRPr="00F36563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76262BD4" w14:textId="5C251DA0" w:rsidR="009151D8" w:rsidRPr="00682D75" w:rsidRDefault="009151D8" w:rsidP="00F27C42">
      <w:pPr>
        <w:pStyle w:val="ListParagraph"/>
        <w:spacing w:beforeLines="20" w:before="48" w:afterLines="20" w:after="4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 xml:space="preserve">This list contains articles 3-10 years old from core </w:t>
      </w:r>
      <w:r w:rsidR="00545EE1">
        <w:rPr>
          <w:rFonts w:ascii="Times New Roman" w:hAnsi="Times New Roman" w:cs="Times New Roman"/>
          <w:sz w:val="24"/>
          <w:szCs w:val="24"/>
        </w:rPr>
        <w:t xml:space="preserve">and non-core </w:t>
      </w:r>
      <w:r w:rsidRPr="00682D75">
        <w:rPr>
          <w:rFonts w:ascii="Times New Roman" w:hAnsi="Times New Roman" w:cs="Times New Roman"/>
          <w:sz w:val="24"/>
          <w:szCs w:val="24"/>
        </w:rPr>
        <w:t>journals</w:t>
      </w:r>
      <w:r w:rsidR="006E27E3" w:rsidRPr="00682D75">
        <w:rPr>
          <w:rFonts w:ascii="Times New Roman" w:hAnsi="Times New Roman" w:cs="Times New Roman"/>
          <w:sz w:val="24"/>
          <w:szCs w:val="24"/>
        </w:rPr>
        <w:t xml:space="preserve"> </w:t>
      </w:r>
      <w:r w:rsidRPr="00682D75">
        <w:rPr>
          <w:rFonts w:ascii="Times New Roman" w:hAnsi="Times New Roman" w:cs="Times New Roman"/>
          <w:sz w:val="24"/>
          <w:szCs w:val="24"/>
        </w:rPr>
        <w:t>and is designed to bridge a perceived gap in the recommended reading between recent journal articles, non-core journals and textbooks. It contains article the committee deems likely to inform and impact the practice of veterinary ECC.  We aim to keep this list to &lt;100 articles</w:t>
      </w:r>
      <w:r w:rsidR="00491F54">
        <w:rPr>
          <w:rFonts w:ascii="Times New Roman" w:hAnsi="Times New Roman" w:cs="Times New Roman"/>
          <w:sz w:val="24"/>
          <w:szCs w:val="24"/>
        </w:rPr>
        <w:t xml:space="preserve">. This list </w:t>
      </w:r>
      <w:proofErr w:type="gramStart"/>
      <w:r w:rsidR="00491F54">
        <w:rPr>
          <w:rFonts w:ascii="Times New Roman" w:hAnsi="Times New Roman" w:cs="Times New Roman"/>
          <w:sz w:val="24"/>
          <w:szCs w:val="24"/>
        </w:rPr>
        <w:t>is</w:t>
      </w:r>
      <w:r w:rsidRPr="00682D75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682D75">
        <w:rPr>
          <w:rFonts w:ascii="Times New Roman" w:hAnsi="Times New Roman" w:cs="Times New Roman"/>
          <w:sz w:val="24"/>
          <w:szCs w:val="24"/>
        </w:rPr>
        <w:t xml:space="preserve"> review</w:t>
      </w:r>
      <w:r w:rsidR="00491F54">
        <w:rPr>
          <w:rFonts w:ascii="Times New Roman" w:hAnsi="Times New Roman" w:cs="Times New Roman"/>
          <w:sz w:val="24"/>
          <w:szCs w:val="24"/>
        </w:rPr>
        <w:t>ed</w:t>
      </w:r>
      <w:r w:rsidRPr="00682D75">
        <w:rPr>
          <w:rFonts w:ascii="Times New Roman" w:hAnsi="Times New Roman" w:cs="Times New Roman"/>
          <w:sz w:val="24"/>
          <w:szCs w:val="24"/>
        </w:rPr>
        <w:t xml:space="preserve"> and update</w:t>
      </w:r>
      <w:r w:rsidR="00491F54">
        <w:rPr>
          <w:rFonts w:ascii="Times New Roman" w:hAnsi="Times New Roman" w:cs="Times New Roman"/>
          <w:sz w:val="24"/>
          <w:szCs w:val="24"/>
        </w:rPr>
        <w:t>d</w:t>
      </w:r>
      <w:r w:rsidRPr="00682D75">
        <w:rPr>
          <w:rFonts w:ascii="Times New Roman" w:hAnsi="Times New Roman" w:cs="Times New Roman"/>
          <w:sz w:val="24"/>
          <w:szCs w:val="24"/>
        </w:rPr>
        <w:t xml:space="preserve"> annually.</w:t>
      </w:r>
    </w:p>
    <w:p w14:paraId="316C5E13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232882FB" w14:textId="77777777" w:rsidR="00C22673" w:rsidRPr="00682D75" w:rsidRDefault="00C22673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2561D4B2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ACID-BASE, FLUIDS, &amp; ELECTROLYTES</w:t>
      </w:r>
    </w:p>
    <w:p w14:paraId="007F050E" w14:textId="385BD4CD" w:rsidR="00682D75" w:rsidRPr="006C4B55" w:rsidRDefault="00682D75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Collins NM, Carrick JB, Russell CM, Axon JE.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Hypernatraemia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39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hospitalised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foals: clinical findings, primary diagnosis and outcome. Aust Vet J; 2018 Oct;96(10):385-389.</w:t>
      </w:r>
    </w:p>
    <w:p w14:paraId="31EEB08C" w14:textId="2EDED1D2" w:rsidR="00BD34FA" w:rsidRPr="00682D75" w:rsidRDefault="00BD34FA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Khan A., Hallowell GD., Underwood C., van Eps AW. Continuous fluid infusion per rectum compared with intravenous and nasogastric fluid administration in horses. Equine Vet J. 2019;51(6):767-773. </w:t>
      </w:r>
    </w:p>
    <w:p w14:paraId="4CFFC1A3" w14:textId="2D2506B4" w:rsidR="00AA384E" w:rsidRPr="00682D75" w:rsidRDefault="00AA384E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Marik PE. Fluid responsiveness and the six guiding principle of fluid resuscitation. Crit Care Med 2016;44(10):1920-1922</w:t>
      </w:r>
    </w:p>
    <w:p w14:paraId="42CF02C6" w14:textId="0A1252C2" w:rsidR="00316416" w:rsidRPr="00682D75" w:rsidRDefault="00316416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McKenzie EC., Esser MM., McNitt SE., Payton ME. Effect of infusion of plasma or 6% hydroxyethyl starch (600/0.75) solution on plasma colloid osmotic pressure in healthy horses. Am J Vet Res 2016;</w:t>
      </w:r>
      <w:r w:rsidR="0070644F" w:rsidRPr="00682D75">
        <w:rPr>
          <w:rFonts w:ascii="Times New Roman" w:hAnsi="Times New Roman" w:cs="Times New Roman"/>
          <w:sz w:val="24"/>
          <w:szCs w:val="24"/>
        </w:rPr>
        <w:t xml:space="preserve">77(7):708-714. </w:t>
      </w:r>
    </w:p>
    <w:p w14:paraId="7BFD83F6" w14:textId="0B230506" w:rsidR="002278C2" w:rsidRPr="00682D75" w:rsidRDefault="002278C2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Semler MW., Self WH., Wanderer et al. Balanced crystalloids versus saline in critically ill adults. N Engl J Med 2018; 378(9):</w:t>
      </w:r>
      <w:r w:rsidR="00BA7ED1" w:rsidRPr="00682D75">
        <w:rPr>
          <w:rFonts w:ascii="Times New Roman" w:hAnsi="Times New Roman" w:cs="Times New Roman"/>
          <w:sz w:val="24"/>
          <w:szCs w:val="24"/>
        </w:rPr>
        <w:t xml:space="preserve">829-839. </w:t>
      </w:r>
    </w:p>
    <w:p w14:paraId="21E78BF8" w14:textId="4507D881" w:rsidR="00F27C42" w:rsidRPr="00682D75" w:rsidRDefault="00F27C42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Sen A</w:t>
      </w:r>
      <w:r w:rsidR="00682D75" w:rsidRPr="00682D75">
        <w:rPr>
          <w:rFonts w:ascii="Times New Roman" w:hAnsi="Times New Roman" w:cs="Times New Roman"/>
          <w:sz w:val="24"/>
          <w:szCs w:val="24"/>
        </w:rPr>
        <w:t>.,</w:t>
      </w:r>
      <w:r w:rsidRPr="00682D75">
        <w:rPr>
          <w:rFonts w:ascii="Times New Roman" w:hAnsi="Times New Roman" w:cs="Times New Roman"/>
          <w:sz w:val="24"/>
          <w:szCs w:val="24"/>
        </w:rPr>
        <w:t xml:space="preserve"> Keener CM</w:t>
      </w:r>
      <w:r w:rsidR="00682D75" w:rsidRPr="00682D7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82D75">
        <w:rPr>
          <w:rFonts w:ascii="Times New Roman" w:hAnsi="Times New Roman" w:cs="Times New Roman"/>
          <w:sz w:val="24"/>
          <w:szCs w:val="24"/>
        </w:rPr>
        <w:t>Sileanu</w:t>
      </w:r>
      <w:proofErr w:type="spellEnd"/>
      <w:r w:rsidRPr="00682D75">
        <w:rPr>
          <w:rFonts w:ascii="Times New Roman" w:hAnsi="Times New Roman" w:cs="Times New Roman"/>
          <w:sz w:val="24"/>
          <w:szCs w:val="24"/>
        </w:rPr>
        <w:t xml:space="preserve"> FE</w:t>
      </w:r>
      <w:r w:rsidR="00682D75" w:rsidRPr="00682D75">
        <w:rPr>
          <w:rFonts w:ascii="Times New Roman" w:hAnsi="Times New Roman" w:cs="Times New Roman"/>
          <w:sz w:val="24"/>
          <w:szCs w:val="24"/>
        </w:rPr>
        <w:t>.,</w:t>
      </w:r>
      <w:r w:rsidRPr="00682D75">
        <w:rPr>
          <w:rFonts w:ascii="Times New Roman" w:hAnsi="Times New Roman" w:cs="Times New Roman"/>
          <w:sz w:val="24"/>
          <w:szCs w:val="24"/>
        </w:rPr>
        <w:t xml:space="preserve"> et al. Chloride content of fluids used for large-volume resuscitation is associated with reduced survival. Crit Care Med 2017; 45(2</w:t>
      </w:r>
      <w:proofErr w:type="gramStart"/>
      <w:r w:rsidRPr="00682D75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682D75">
        <w:rPr>
          <w:rFonts w:ascii="Times New Roman" w:hAnsi="Times New Roman" w:cs="Times New Roman"/>
          <w:sz w:val="24"/>
          <w:szCs w:val="24"/>
        </w:rPr>
        <w:t>146-e153.</w:t>
      </w:r>
    </w:p>
    <w:p w14:paraId="23E2D7C7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507CC46F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ANESTHESIA/ANALGESIA</w:t>
      </w:r>
    </w:p>
    <w:p w14:paraId="13C1C3EA" w14:textId="04345722" w:rsidR="00C04752" w:rsidRPr="00682D75" w:rsidRDefault="00C04752" w:rsidP="00CC64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Hopster K., Watkins AR., Hurcombe SD. Comparison of cervical epidural morphine with intravenous morphine administration on antinociception in adult horses using thermal threshold testing. Vet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Anaesth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Analg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2022;49(4):417-422.</w:t>
      </w:r>
    </w:p>
    <w:p w14:paraId="064676ED" w14:textId="3830DB5F" w:rsidR="00CC64EB" w:rsidRPr="00682D75" w:rsidRDefault="00CC64EB" w:rsidP="00CC64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82D75">
        <w:rPr>
          <w:rFonts w:ascii="Times New Roman" w:eastAsiaTheme="minorEastAsia" w:hAnsi="Times New Roman" w:cs="Times New Roman"/>
          <w:sz w:val="24"/>
          <w:szCs w:val="24"/>
        </w:rPr>
        <w:t>Lochran</w:t>
      </w:r>
      <w:proofErr w:type="spellEnd"/>
      <w:r w:rsidRPr="00682D75">
        <w:rPr>
          <w:rFonts w:ascii="Times New Roman" w:eastAsiaTheme="minorEastAsia" w:hAnsi="Times New Roman" w:cs="Times New Roman"/>
          <w:sz w:val="24"/>
          <w:szCs w:val="24"/>
        </w:rPr>
        <w:t xml:space="preserve"> CM, </w:t>
      </w:r>
      <w:proofErr w:type="spellStart"/>
      <w:r w:rsidRPr="00682D75">
        <w:rPr>
          <w:rFonts w:ascii="Times New Roman" w:eastAsiaTheme="minorEastAsia" w:hAnsi="Times New Roman" w:cs="Times New Roman"/>
          <w:sz w:val="24"/>
          <w:szCs w:val="24"/>
        </w:rPr>
        <w:t>Raisis</w:t>
      </w:r>
      <w:proofErr w:type="spellEnd"/>
      <w:r w:rsidRPr="00682D75">
        <w:rPr>
          <w:rFonts w:ascii="Times New Roman" w:eastAsiaTheme="minorEastAsia" w:hAnsi="Times New Roman" w:cs="Times New Roman"/>
          <w:sz w:val="24"/>
          <w:szCs w:val="24"/>
        </w:rPr>
        <w:t xml:space="preserve"> AL, Hosgood G, Secombe CJ, Lester GD. The effect of dobutamine and </w:t>
      </w:r>
      <w:r w:rsidR="00782DE5" w:rsidRPr="00682D75">
        <w:rPr>
          <w:rFonts w:ascii="Times New Roman" w:eastAsiaTheme="minorEastAsia" w:hAnsi="Times New Roman" w:cs="Times New Roman"/>
          <w:sz w:val="24"/>
          <w:szCs w:val="24"/>
        </w:rPr>
        <w:t>bolus crystalloids</w:t>
      </w:r>
      <w:r w:rsidRPr="00682D75">
        <w:rPr>
          <w:rFonts w:ascii="Times New Roman" w:eastAsiaTheme="minorEastAsia" w:hAnsi="Times New Roman" w:cs="Times New Roman"/>
          <w:sz w:val="24"/>
          <w:szCs w:val="24"/>
        </w:rPr>
        <w:t xml:space="preserve"> on the cardiovascular function of isoflurane anesthetized horses</w:t>
      </w:r>
      <w:r w:rsidR="00F70E61" w:rsidRPr="00682D7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82D75">
        <w:rPr>
          <w:rFonts w:ascii="Times New Roman" w:eastAsiaTheme="minorEastAsia" w:hAnsi="Times New Roman" w:cs="Times New Roman"/>
          <w:sz w:val="24"/>
          <w:szCs w:val="24"/>
        </w:rPr>
        <w:t xml:space="preserve"> Equine Vet J, 2017;49:369-374.</w:t>
      </w:r>
    </w:p>
    <w:p w14:paraId="69719C2D" w14:textId="77777777" w:rsidR="00CC64EB" w:rsidRPr="00682D75" w:rsidRDefault="00CC64EB" w:rsidP="00F27C42">
      <w:pPr>
        <w:pStyle w:val="ListParagraph"/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267A67F7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1B6DC241" w14:textId="0F743C4A" w:rsidR="00500549" w:rsidRPr="00682D75" w:rsidRDefault="009151D8" w:rsidP="00CF7646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CARDIOVASCULAR</w:t>
      </w:r>
    </w:p>
    <w:p w14:paraId="180A0D07" w14:textId="61B02880" w:rsidR="00836039" w:rsidRPr="00682D75" w:rsidRDefault="00836039" w:rsidP="00836039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D75">
        <w:rPr>
          <w:rFonts w:ascii="Times New Roman" w:hAnsi="Times New Roman" w:cs="Times New Roman"/>
          <w:sz w:val="24"/>
          <w:szCs w:val="24"/>
          <w:shd w:val="clear" w:color="auto" w:fill="FFFFFF"/>
        </w:rPr>
        <w:t>Afonso T., Giguere S., Rapoport G., Barton MH., Coleman AE. Cardiovascular effects of pimobendane in healthy mature horses. Equine Vet J 2016;48(3): 352-356.</w:t>
      </w:r>
    </w:p>
    <w:p w14:paraId="0F3581A2" w14:textId="46647C86" w:rsidR="00FF36A9" w:rsidRPr="00682D75" w:rsidRDefault="00FF36A9" w:rsidP="00500549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Broux</w:t>
      </w:r>
      <w:proofErr w:type="spellEnd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B., De Clercq D., </w:t>
      </w:r>
      <w:proofErr w:type="spellStart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Decloedt</w:t>
      </w:r>
      <w:proofErr w:type="spellEnd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A., De </w:t>
      </w:r>
      <w:proofErr w:type="spellStart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Baere</w:t>
      </w:r>
      <w:proofErr w:type="spellEnd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S., Devreese M., Van Der </w:t>
      </w:r>
      <w:proofErr w:type="spellStart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Vekens</w:t>
      </w:r>
      <w:proofErr w:type="spellEnd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N., Ven S., </w:t>
      </w:r>
      <w:proofErr w:type="spellStart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Croubels</w:t>
      </w:r>
      <w:proofErr w:type="spellEnd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S., van Loon G. Pharmacokinetics of intravenously and orally administered sotalol </w:t>
      </w:r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hydrochloride in horses and effects on surface electrocardiogram and left ventricular systolic function. Vet J </w:t>
      </w:r>
      <w:proofErr w:type="gramStart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2016;208:60</w:t>
      </w:r>
      <w:proofErr w:type="gramEnd"/>
      <w:r w:rsidRPr="0068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-64. </w:t>
      </w:r>
    </w:p>
    <w:p w14:paraId="0054FF2B" w14:textId="793999A7" w:rsidR="009151D8" w:rsidRPr="00682D75" w:rsidRDefault="002F0BF6" w:rsidP="00500549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D75">
        <w:rPr>
          <w:rFonts w:ascii="Times New Roman" w:hAnsi="Times New Roman" w:cs="Times New Roman"/>
          <w:sz w:val="24"/>
          <w:szCs w:val="24"/>
          <w:shd w:val="clear" w:color="auto" w:fill="FFFFFF"/>
        </w:rPr>
        <w:t>Navas de Solis C., Reef VB., Slack J and Jose-</w:t>
      </w:r>
      <w:proofErr w:type="spellStart"/>
      <w:r w:rsidRPr="00682D75">
        <w:rPr>
          <w:rFonts w:ascii="Times New Roman" w:hAnsi="Times New Roman" w:cs="Times New Roman"/>
          <w:sz w:val="24"/>
          <w:szCs w:val="24"/>
          <w:shd w:val="clear" w:color="auto" w:fill="FFFFFF"/>
        </w:rPr>
        <w:t>Cunilleras</w:t>
      </w:r>
      <w:proofErr w:type="spellEnd"/>
      <w:r w:rsidRPr="00682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E. Evaluation of coagulation and fibrinolysis in horses with atrial fibrillation. </w:t>
      </w:r>
      <w:r w:rsidR="001B1DF7" w:rsidRPr="00682D75">
        <w:rPr>
          <w:rFonts w:ascii="Times New Roman" w:hAnsi="Times New Roman" w:cs="Times New Roman"/>
          <w:sz w:val="24"/>
          <w:szCs w:val="24"/>
          <w:shd w:val="clear" w:color="auto" w:fill="FFFFFF"/>
        </w:rPr>
        <w:t>J Vet Med Assoc</w:t>
      </w:r>
      <w:r w:rsidR="00B0659B" w:rsidRPr="00682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2016;248(2):</w:t>
      </w:r>
      <w:r w:rsidR="008F3EBD" w:rsidRPr="00682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201-206. </w:t>
      </w:r>
    </w:p>
    <w:p w14:paraId="5FC94ACA" w14:textId="0194BECC" w:rsidR="00836039" w:rsidRPr="00682D75" w:rsidRDefault="00836039" w:rsidP="00500549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Trefz FM, Lorenz I, Constable PD. Electrocardiographic findings in 130 hospitalized neonatal calves with diarrhea and associated potassium balance disorders. J Vet Intern Med; 2018 Jul;32(4):1447-146</w:t>
      </w:r>
      <w:r w:rsidR="002B2A27"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35BB5015" w14:textId="2629CF23" w:rsidR="002B2A27" w:rsidRPr="00682D75" w:rsidRDefault="002B2A27" w:rsidP="00500549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Walton RAL, Hansen BD. Venous oxygen saturation in critical illness. J Vet Emerg Crit Care (San Antonio); 2018 Sep;28(5):387-397. </w:t>
      </w:r>
    </w:p>
    <w:p w14:paraId="6F7D3D90" w14:textId="77777777" w:rsidR="00431677" w:rsidRPr="00682D75" w:rsidRDefault="00431677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57CDB98F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COAGULATION/TRANSFUSION MEDICINE</w:t>
      </w:r>
    </w:p>
    <w:p w14:paraId="44AE96F9" w14:textId="53B1E2EE" w:rsidR="0041149F" w:rsidRDefault="00ED039F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</w:t>
      </w:r>
      <w:r w:rsidR="0041149F">
        <w:rPr>
          <w:rFonts w:ascii="Times New Roman" w:hAnsi="Times New Roman" w:cs="Times New Roman"/>
          <w:sz w:val="24"/>
          <w:szCs w:val="24"/>
        </w:rPr>
        <w:t xml:space="preserve">ais MC., Bianco D., </w:t>
      </w:r>
      <w:proofErr w:type="spellStart"/>
      <w:r w:rsidR="0041149F">
        <w:rPr>
          <w:rFonts w:ascii="Times New Roman" w:hAnsi="Times New Roman" w:cs="Times New Roman"/>
          <w:sz w:val="24"/>
          <w:szCs w:val="24"/>
        </w:rPr>
        <w:t>Goggs</w:t>
      </w:r>
      <w:proofErr w:type="spellEnd"/>
      <w:r w:rsidR="0041149F">
        <w:rPr>
          <w:rFonts w:ascii="Times New Roman" w:hAnsi="Times New Roman" w:cs="Times New Roman"/>
          <w:sz w:val="24"/>
          <w:szCs w:val="24"/>
        </w:rPr>
        <w:t xml:space="preserve"> R., Lunch AM., Palmer L., Ralph A., Sharp CR. Consensus on the Rational Use of Anti-</w:t>
      </w:r>
      <w:proofErr w:type="spellStart"/>
      <w:r w:rsidR="0041149F">
        <w:rPr>
          <w:rFonts w:ascii="Times New Roman" w:hAnsi="Times New Roman" w:cs="Times New Roman"/>
          <w:sz w:val="24"/>
          <w:szCs w:val="24"/>
        </w:rPr>
        <w:t>thrombotics</w:t>
      </w:r>
      <w:proofErr w:type="spellEnd"/>
      <w:r w:rsidR="0041149F">
        <w:rPr>
          <w:rFonts w:ascii="Times New Roman" w:hAnsi="Times New Roman" w:cs="Times New Roman"/>
          <w:sz w:val="24"/>
          <w:szCs w:val="24"/>
        </w:rPr>
        <w:t xml:space="preserve"> in Veterinary Critical Care (CURATIVE): Domain 3- Defining antithrombotic protocols. </w:t>
      </w:r>
      <w:r w:rsidR="00E45515">
        <w:rPr>
          <w:rFonts w:ascii="Times New Roman" w:hAnsi="Times New Roman" w:cs="Times New Roman"/>
          <w:sz w:val="24"/>
          <w:szCs w:val="24"/>
        </w:rPr>
        <w:t>J Vet Emerg Crit Care 2019;</w:t>
      </w:r>
      <w:r w:rsidR="000A2A9C">
        <w:rPr>
          <w:rFonts w:ascii="Times New Roman" w:hAnsi="Times New Roman" w:cs="Times New Roman"/>
          <w:sz w:val="24"/>
          <w:szCs w:val="24"/>
        </w:rPr>
        <w:t>29(1):60-74.</w:t>
      </w:r>
    </w:p>
    <w:p w14:paraId="569FABBB" w14:textId="4A107BA4" w:rsidR="00ED039F" w:rsidRDefault="00ED039F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Brainard BM.,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Y., Good J., Ralph AG., Rozanski EA. Consensus on the rational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antithrombotics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Veterinary Critical Care (CURATIVE): Domain 5 – Discontinuation of anticoagulant therapy in small animals. J Vet Emerg Crit Care 2019; 29(1):88-97. </w:t>
      </w:r>
    </w:p>
    <w:p w14:paraId="75212E23" w14:textId="426F58CD" w:rsidR="00C01476" w:rsidRDefault="00C01476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 xml:space="preserve">Cooper DJ, </w:t>
      </w:r>
      <w:proofErr w:type="spellStart"/>
      <w:r w:rsidRPr="00682D75">
        <w:rPr>
          <w:rFonts w:ascii="Times New Roman" w:hAnsi="Times New Roman" w:cs="Times New Roman"/>
          <w:sz w:val="24"/>
          <w:szCs w:val="24"/>
        </w:rPr>
        <w:t>McQuilten</w:t>
      </w:r>
      <w:proofErr w:type="spellEnd"/>
      <w:r w:rsidRPr="00682D75">
        <w:rPr>
          <w:rFonts w:ascii="Times New Roman" w:hAnsi="Times New Roman" w:cs="Times New Roman"/>
          <w:sz w:val="24"/>
          <w:szCs w:val="24"/>
        </w:rPr>
        <w:t xml:space="preserve"> ZK, Nichol A, et al (TRANSFUSE Investigators). Age of red cells for transfusion and outcomes in critically ill adults. N Eng J Med 2017; 377(19):1858-1867.</w:t>
      </w:r>
    </w:p>
    <w:p w14:paraId="28AEAD8C" w14:textId="5CB95AA9" w:rsidR="00AF1946" w:rsidRDefault="00AF1946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deLaforcade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L., Blais MC.,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Lynch A., Rozanski E. Consensus on the Rational Use of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thrombotics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Veterinary Critical Care (CURATIVE): Domain 1 – Defining populations at risk. </w:t>
      </w:r>
      <w:r w:rsidR="00870800">
        <w:rPr>
          <w:rFonts w:ascii="Times New Roman" w:hAnsi="Times New Roman" w:cs="Times New Roman"/>
          <w:sz w:val="24"/>
          <w:szCs w:val="24"/>
        </w:rPr>
        <w:t>J Vet Emerg Crit Care 2019;</w:t>
      </w:r>
      <w:r w:rsidR="00311B5E">
        <w:rPr>
          <w:rFonts w:ascii="Times New Roman" w:hAnsi="Times New Roman" w:cs="Times New Roman"/>
          <w:sz w:val="24"/>
          <w:szCs w:val="24"/>
        </w:rPr>
        <w:t>29(1):37-48.</w:t>
      </w:r>
    </w:p>
    <w:p w14:paraId="493A28C4" w14:textId="3E3B589E" w:rsidR="00906312" w:rsidRDefault="00906312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L., Bianco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Koengshof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Li RH. </w:t>
      </w:r>
      <w:r w:rsidR="00A55FEA">
        <w:rPr>
          <w:rFonts w:ascii="Times New Roman" w:hAnsi="Times New Roman" w:cs="Times New Roman"/>
          <w:sz w:val="24"/>
          <w:szCs w:val="24"/>
        </w:rPr>
        <w:t xml:space="preserve">Consensus on the Rational Use of </w:t>
      </w:r>
      <w:proofErr w:type="spellStart"/>
      <w:r w:rsidR="00A55FEA">
        <w:rPr>
          <w:rFonts w:ascii="Times New Roman" w:hAnsi="Times New Roman" w:cs="Times New Roman"/>
          <w:sz w:val="24"/>
          <w:szCs w:val="24"/>
        </w:rPr>
        <w:t>Antithrombotics</w:t>
      </w:r>
      <w:proofErr w:type="spellEnd"/>
      <w:r w:rsidR="00A55FEA">
        <w:rPr>
          <w:rFonts w:ascii="Times New Roman" w:hAnsi="Times New Roman" w:cs="Times New Roman"/>
          <w:sz w:val="24"/>
          <w:szCs w:val="24"/>
        </w:rPr>
        <w:t xml:space="preserve"> in Veterinary Critical Care (CURATIVE): Domain 2 – Defining rational therapeutic usage. J Vet Emerg Crit Care</w:t>
      </w:r>
      <w:r w:rsidR="00FA1702">
        <w:rPr>
          <w:rFonts w:ascii="Times New Roman" w:hAnsi="Times New Roman" w:cs="Times New Roman"/>
          <w:sz w:val="24"/>
          <w:szCs w:val="24"/>
        </w:rPr>
        <w:t xml:space="preserve"> 2019;29(1):49-59. </w:t>
      </w:r>
    </w:p>
    <w:p w14:paraId="4E401941" w14:textId="26BBE769" w:rsidR="00E83039" w:rsidRPr="00682D75" w:rsidRDefault="00683561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Norris JW, Watson JL,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Kozikowski TA, Knych H. Pharmacokinetics and competitive pharmacodynamics of ADP-induced platelet activation after oral administration of clopidogrel to horses. Am J Vet Res 2019;80(5):505-512. </w:t>
      </w:r>
    </w:p>
    <w:p w14:paraId="43E21D2E" w14:textId="73F6A429" w:rsidR="00440783" w:rsidRPr="006C4B55" w:rsidRDefault="00440783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Scruggs JL., Flatland B., McCormick KA., Reed A. </w:t>
      </w:r>
      <w:r w:rsidR="001B1DF7"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iological variation of </w:t>
      </w:r>
      <w:proofErr w:type="spellStart"/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thromboelastography</w:t>
      </w:r>
      <w:proofErr w:type="spellEnd"/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variables in 10 clinically healthy horses. </w:t>
      </w:r>
      <w:r w:rsidR="008645DC"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 Vet Emerg Crit Care</w:t>
      </w:r>
      <w:r w:rsidR="00607AAF"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2016;26</w:t>
      </w:r>
      <w:r w:rsidR="00BD0347"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607AAF"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1):80-84. </w:t>
      </w:r>
    </w:p>
    <w:p w14:paraId="3B73E152" w14:textId="5C30032F" w:rsidR="00B46025" w:rsidRPr="00682D75" w:rsidRDefault="00B46025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Sharp CR.,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deLaforcade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Koenigshof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AM., Lunch AM., Thomason JM. Consensus on the Rational Use of Anti-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thrombotics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Veterinary Critical Care (CURATIVE): Domain 4 – Refining and monitoring antithrombotic therapies </w:t>
      </w:r>
      <w:r w:rsidR="00BA43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 Vet Emerg Crit Care 2019;</w:t>
      </w:r>
      <w:r w:rsidR="00B353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29(1):75-87. </w:t>
      </w:r>
    </w:p>
    <w:p w14:paraId="70FBE5E4" w14:textId="77777777" w:rsidR="00F27C42" w:rsidRPr="00682D75" w:rsidRDefault="00F27C42" w:rsidP="00F27C42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14:paraId="5F39AAC2" w14:textId="6D1F9DF6" w:rsidR="006E27E3" w:rsidRPr="00682D75" w:rsidRDefault="006E27E3" w:rsidP="00F27C42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ENDOCRINE</w:t>
      </w:r>
    </w:p>
    <w:p w14:paraId="67B23F0E" w14:textId="015065A5" w:rsidR="002B2A27" w:rsidRPr="00682D75" w:rsidRDefault="002B2A27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Bertin FR, Ruffin-Taylor D, Stewart AJ. Insulin dysregulation in horses with systemic inflammatory response syndrome. J Vet Intern Med; 2018 Jul;32(4):1420-1427.</w:t>
      </w:r>
    </w:p>
    <w:p w14:paraId="0D85D9A2" w14:textId="5E89CE0A" w:rsidR="009151D8" w:rsidRPr="00682D75" w:rsidRDefault="006E27E3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Burkitt Creedon JM. Controversies surrounding critical illness‐related corticosteroid insufficiency in animals. J Vet Emerg Crit Care; 2015; 25(1):107-12.</w:t>
      </w:r>
    </w:p>
    <w:p w14:paraId="4919823F" w14:textId="77777777" w:rsidR="00C567BB" w:rsidRPr="00682D75" w:rsidRDefault="00C567BB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34F9282E" w14:textId="4966ACB9" w:rsidR="001B7D48" w:rsidRPr="006C4B55" w:rsidRDefault="009151D8" w:rsidP="006C4B55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ENVIRONMENTAL/TOXIC</w:t>
      </w:r>
    </w:p>
    <w:p w14:paraId="13A97FB5" w14:textId="3B22740B" w:rsidR="00682D75" w:rsidRPr="00682D75" w:rsidRDefault="0049432F" w:rsidP="006C4B55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Epstein Y.,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Heatstroke. N Engl J Med </w:t>
      </w:r>
      <w:proofErr w:type="gramStart"/>
      <w:r>
        <w:rPr>
          <w:rFonts w:ascii="Times New Roman" w:hAnsi="Times New Roman" w:cs="Times New Roman"/>
          <w:sz w:val="24"/>
          <w:szCs w:val="24"/>
        </w:rPr>
        <w:t>2019;280:2449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-2459. </w:t>
      </w:r>
    </w:p>
    <w:p w14:paraId="3C7E71FF" w14:textId="77777777" w:rsidR="000250E1" w:rsidRPr="00682D75" w:rsidRDefault="000250E1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5C1FF486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GASTROINTESTINAL/EXOCRINE PANCREAS</w:t>
      </w:r>
    </w:p>
    <w:p w14:paraId="63A0F2A3" w14:textId="001E24D5" w:rsidR="002B2A27" w:rsidRPr="006C4B55" w:rsidRDefault="0003731C" w:rsidP="003B7729">
      <w:pPr>
        <w:pStyle w:val="ListParagraph"/>
        <w:numPr>
          <w:ilvl w:val="0"/>
          <w:numId w:val="1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3731C">
        <w:rPr>
          <w:rFonts w:ascii="Times New Roman" w:eastAsiaTheme="minorEastAsia" w:hAnsi="Times New Roman" w:cs="Times New Roman"/>
          <w:sz w:val="24"/>
          <w:szCs w:val="24"/>
        </w:rPr>
        <w:t xml:space="preserve">Boorman S., Stefanovski D., Southwood SL. </w:t>
      </w:r>
      <w:r w:rsidRPr="00852AF7">
        <w:t>Clinical findings associated with development of postoperative reflux and short-term survival after small intestinal surgery in geriatric and mature nongeriatric horses</w:t>
      </w:r>
      <w:r w:rsidR="007000ED">
        <w:t xml:space="preserve">. Vet Surg 2019;48(5):795-802. </w:t>
      </w:r>
      <w:r w:rsidR="002B2A27" w:rsidRPr="000373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Broyles AH, Hopper SA, Woodie JB, Ruggles AJ. Clinical outcomes after </w:t>
      </w:r>
      <w:proofErr w:type="spellStart"/>
      <w:r w:rsidR="002B2A27" w:rsidRPr="000373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colopexy</w:t>
      </w:r>
      <w:proofErr w:type="spellEnd"/>
      <w:r w:rsidR="002B2A27" w:rsidRPr="000373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through left ventral paramedian incision in 156 thoroughbred broodmares with large colon disorders (1999-2015). Vet Surg; 2018 May;47(4):490-498.</w:t>
      </w:r>
    </w:p>
    <w:p w14:paraId="15611DBE" w14:textId="77777777" w:rsidR="00DB0D6C" w:rsidRPr="006C4B55" w:rsidRDefault="000347B6" w:rsidP="00DB0D6C">
      <w:pPr>
        <w:pStyle w:val="ListParagraph"/>
        <w:numPr>
          <w:ilvl w:val="0"/>
          <w:numId w:val="1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Jacobs CC., Stefanovski D., Southwood LL. Use of perioperative variables to determine the requirement for repeat celiotomy in horses with postoperative reflux after small intestinal surgery. Vet Surg. 2019(48):1204-1210. </w:t>
      </w:r>
    </w:p>
    <w:p w14:paraId="5CEF4828" w14:textId="53A8FF90" w:rsidR="00BA17E9" w:rsidRPr="006C4B55" w:rsidRDefault="00BA17E9" w:rsidP="00DB0D6C">
      <w:pPr>
        <w:pStyle w:val="ListParagraph"/>
        <w:numPr>
          <w:ilvl w:val="0"/>
          <w:numId w:val="1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B0D6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Kilcoyne I., Dechant JE., Kass PH., Nieto JE. </w:t>
      </w:r>
      <w:r>
        <w:t>Evaluation of the risk of incisional infection in horses following application of protective dressings after exploratory celiotomy for treatment of colic. J Am Vet Med Assoc. 2019;254</w:t>
      </w:r>
      <w:r w:rsidR="00DB0D6C">
        <w:t xml:space="preserve">(12):1441-1447. </w:t>
      </w:r>
    </w:p>
    <w:p w14:paraId="04217D50" w14:textId="76F6B3D6" w:rsidR="00126D19" w:rsidRPr="006C4B55" w:rsidRDefault="00126D19" w:rsidP="00DB0D6C">
      <w:pPr>
        <w:pStyle w:val="ListParagraph"/>
        <w:numPr>
          <w:ilvl w:val="0"/>
          <w:numId w:val="1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Kilcoyne I</w:t>
      </w:r>
      <w:r w:rsidRPr="006C4B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Nieto JE., Dechant JE. Predictive value of plasma and peritoneal creatine kinase in horses with strangulating intestinal lesions. Vet Surg 2019;48(2):152-158. </w:t>
      </w:r>
    </w:p>
    <w:p w14:paraId="628F7463" w14:textId="54E59685" w:rsidR="002B2A27" w:rsidRPr="00682D75" w:rsidRDefault="002B2A27" w:rsidP="0049112E">
      <w:pPr>
        <w:pStyle w:val="ListParagraph"/>
        <w:numPr>
          <w:ilvl w:val="0"/>
          <w:numId w:val="1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Lisowski ZM, Pirie RS,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Blikslager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AT, Lefebvre D, Hume DA, Hudson NPH. An update on equine post-operative ileus: Definitions, pathophysiology and management. Equine Vet J. 2018 May;50(3):292-303.</w:t>
      </w:r>
    </w:p>
    <w:p w14:paraId="2CBE9736" w14:textId="64296494" w:rsidR="0072066F" w:rsidRPr="00682D75" w:rsidRDefault="0070644F" w:rsidP="00836039">
      <w:pPr>
        <w:pStyle w:val="ListParagraph"/>
        <w:numPr>
          <w:ilvl w:val="0"/>
          <w:numId w:val="1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 xml:space="preserve">McConachie E., GIguere S., Barton MH. </w:t>
      </w:r>
      <w:r w:rsidR="00BA1D06" w:rsidRPr="00682D75">
        <w:rPr>
          <w:rFonts w:ascii="Times New Roman" w:hAnsi="Times New Roman" w:cs="Times New Roman"/>
          <w:sz w:val="24"/>
          <w:szCs w:val="24"/>
        </w:rPr>
        <w:t xml:space="preserve">Scoring system for multiple organ dysfunction in adult horses with acute surgical gastrointestinal disease. J Vet Intern Med 2016; 30:1276-1283. </w:t>
      </w:r>
    </w:p>
    <w:p w14:paraId="2D8F30EF" w14:textId="77777777" w:rsidR="00836039" w:rsidRPr="00682D75" w:rsidRDefault="00836039" w:rsidP="00836039">
      <w:pPr>
        <w:pStyle w:val="ListParagraph"/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226F0F4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HEPATOBILIARY</w:t>
      </w:r>
    </w:p>
    <w:p w14:paraId="4192B7FB" w14:textId="77777777" w:rsidR="0049112E" w:rsidRPr="00682D75" w:rsidRDefault="0049112E" w:rsidP="0049112E">
      <w:pPr>
        <w:pStyle w:val="ListParagraph"/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None</w:t>
      </w:r>
    </w:p>
    <w:p w14:paraId="0FB407D4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089CFC9A" w14:textId="4652D34C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IMMUNOLOGY/HEMOLYMPHATIC</w:t>
      </w:r>
    </w:p>
    <w:p w14:paraId="51D7120B" w14:textId="11D291E6" w:rsidR="00BD0347" w:rsidRPr="00682D75" w:rsidRDefault="00BD0347" w:rsidP="00BD0347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Lambert JL., Fernadez NJ., Roy MF. </w:t>
      </w:r>
      <w:proofErr w:type="spellStart"/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Assocation</w:t>
      </w:r>
      <w:proofErr w:type="spellEnd"/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presence of band cells and toxic neutrophils with systemic inflammatory response syndrome and outcome in horses with acute disease. J Vet Intern Med </w:t>
      </w:r>
      <w:proofErr w:type="gramStart"/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2016;30:1284</w:t>
      </w:r>
      <w:proofErr w:type="gramEnd"/>
      <w:r w:rsidRPr="00682D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-1292.</w:t>
      </w:r>
    </w:p>
    <w:p w14:paraId="7E2CAD42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2B8A6A3B" w14:textId="23ED2F3D" w:rsidR="00CC2530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INTEGUMENT</w:t>
      </w:r>
    </w:p>
    <w:p w14:paraId="6F41353D" w14:textId="47773298" w:rsidR="0049112E" w:rsidRPr="006C4B55" w:rsidRDefault="004D3EDB" w:rsidP="006C4B55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Burgess BA. </w:t>
      </w:r>
      <w:r w:rsidRPr="00852AF7">
        <w:t xml:space="preserve">Prevention and surveillance of surgical infections: A review. </w:t>
      </w:r>
      <w:r>
        <w:t xml:space="preserve"> Vet Surg 2019; 48(3):284-290. </w:t>
      </w:r>
    </w:p>
    <w:p w14:paraId="67B764EB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01A767E9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MUSCULOSKELETAL</w:t>
      </w:r>
    </w:p>
    <w:p w14:paraId="36F15955" w14:textId="6CB9798B" w:rsidR="0013388E" w:rsidRPr="006C4B55" w:rsidRDefault="0013388E" w:rsidP="002B2A27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Chidlow H., Giguere S., Sanchez LC. Factors associated with long-term athletic outcome in Thoroughbred neonates admitted to an intensive care unit. Equine Vet J. 2019;51(6):716-719. </w:t>
      </w:r>
    </w:p>
    <w:p w14:paraId="0E4A15A3" w14:textId="300124E6" w:rsidR="009151D8" w:rsidRPr="006C4B55" w:rsidRDefault="002B2A27" w:rsidP="002B2A27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Lozier JW, Niehaus AJ, Muir A, Lakritz J. Short- and long-term success of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transfixation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pin casts used to stabilize long bone fractures in ruminants. Can Vet J; 2018 Jun;59(6):635-641. </w:t>
      </w:r>
    </w:p>
    <w:p w14:paraId="4B2CC656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0FC1B876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NEUROLOGY/SPECIAL SENSES</w:t>
      </w:r>
    </w:p>
    <w:p w14:paraId="5CFE6774" w14:textId="3D601E49" w:rsidR="000A4993" w:rsidRDefault="0049112E" w:rsidP="00682D75">
      <w:pPr>
        <w:pStyle w:val="ListParagraph"/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None</w:t>
      </w:r>
    </w:p>
    <w:p w14:paraId="00F72684" w14:textId="77777777" w:rsidR="00682D75" w:rsidRPr="00682D75" w:rsidRDefault="00682D75" w:rsidP="00682D75">
      <w:pPr>
        <w:pStyle w:val="ListParagraph"/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5D49DAF" w14:textId="72D42CAC" w:rsidR="00964C6A" w:rsidRPr="00682D75" w:rsidRDefault="00964C6A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 xml:space="preserve">NEONATALOGY </w:t>
      </w:r>
    </w:p>
    <w:p w14:paraId="101F71D3" w14:textId="6AA24C62" w:rsidR="00964C6A" w:rsidRDefault="00682D75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14:paraId="4EF7986E" w14:textId="77777777" w:rsidR="00682D75" w:rsidRPr="00682D75" w:rsidRDefault="00682D75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26D3ABC7" w14:textId="3DAF7B71" w:rsidR="000A4993" w:rsidRDefault="000A4993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NUTRITION</w:t>
      </w:r>
    </w:p>
    <w:p w14:paraId="055FE882" w14:textId="7C7489F0" w:rsidR="00682D75" w:rsidRPr="00682D75" w:rsidRDefault="00971D75" w:rsidP="006C4B55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Simpson KM., Taylor JD., Streeter RN. Evaluation of prognostic indicators for goats with pregnancy toxemia. J Am Vet Med Assoc 2019;</w:t>
      </w:r>
      <w:r w:rsidR="00925022">
        <w:rPr>
          <w:rFonts w:ascii="Times New Roman" w:hAnsi="Times New Roman" w:cs="Times New Roman"/>
          <w:sz w:val="24"/>
          <w:szCs w:val="24"/>
        </w:rPr>
        <w:t xml:space="preserve">254(7):859-867. </w:t>
      </w:r>
    </w:p>
    <w:p w14:paraId="1AA65F53" w14:textId="1FC578B8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7BA3AAE5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RENAL/URINARY</w:t>
      </w:r>
    </w:p>
    <w:p w14:paraId="7A73AEA9" w14:textId="5119641A" w:rsidR="00D72178" w:rsidRDefault="00D72178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Jacobs CC., Fecteau ME. </w:t>
      </w:r>
      <w:r w:rsidRPr="00852AF7">
        <w:t>Urethrotomy in combination with or after temporary tube cystostomy for treatment of obstructive urolithiasis in male goats</w:t>
      </w:r>
      <w:r>
        <w:t xml:space="preserve">. Vet Surg 2019;48(3):315-320. </w:t>
      </w:r>
    </w:p>
    <w:p w14:paraId="25B4FD39" w14:textId="17DFA96E" w:rsidR="009F0B2A" w:rsidRDefault="006E27E3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Keir I, Kellum JA. Acute kidney injury in severe sepsis: Pathophysiology, diagnosis, and treatment recommendations. J Vet Emerg Crit Care; 2015 Mar-Apr;25(2):200-9.</w:t>
      </w:r>
    </w:p>
    <w:p w14:paraId="17580E5F" w14:textId="03655F63" w:rsidR="006E28FD" w:rsidRPr="00795418" w:rsidRDefault="006E28FD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795418">
        <w:rPr>
          <w:rFonts w:ascii="Times New Roman" w:hAnsi="Times New Roman" w:cs="Times New Roman"/>
          <w:sz w:val="24"/>
          <w:szCs w:val="24"/>
        </w:rPr>
        <w:t xml:space="preserve">Oman RE., Reppert EJ., Streeter RN., Jones M. </w:t>
      </w:r>
      <w:r w:rsidRPr="0079541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Outcome and complications in goats treated by perineal urethrostomy for obstructive urolithiasis: 25 cases (2010-2017)</w:t>
      </w:r>
      <w:r w:rsidR="009C52B3" w:rsidRPr="0079541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J Vet Intern Med 2019;33(1):292-296. </w:t>
      </w:r>
    </w:p>
    <w:p w14:paraId="7A73B819" w14:textId="07B8D0D8" w:rsidR="00836039" w:rsidRPr="00682D75" w:rsidRDefault="00836039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Riedi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AK,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Knubben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-Schweizer G, Meylan M. Clinical findings and diagnostic procedures in 270 small ruminants with obstructive urolithiasis. J Vet Intern Med; 2018 May;32(3):1274-1282.</w:t>
      </w:r>
    </w:p>
    <w:p w14:paraId="5FB2BC34" w14:textId="0659C17D" w:rsidR="00836039" w:rsidRPr="006C4B55" w:rsidRDefault="00836039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Riedi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AK,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Nathues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C, </w:t>
      </w:r>
      <w:proofErr w:type="spellStart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Knubben</w:t>
      </w:r>
      <w:proofErr w:type="spellEnd"/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-Schweizer G, Nuss K, Meylan M. Variables of initial examination and clinical management associated with survival in small ruminants with obstructive urolithiasis. J Vet Intern Med; 2018 Nov;32(6):2105-2114.</w:t>
      </w:r>
    </w:p>
    <w:p w14:paraId="5157EC75" w14:textId="52E5C33C" w:rsidR="008531E1" w:rsidRPr="00682D75" w:rsidRDefault="00185073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Zhang Z., Mo L., Ho KM., Hong Y. Association between the use of sodium bicarbonate and mortality in acute kidney injury using marginal structural cox model. Crit Care Med 2019;47(10):1402-1408. </w:t>
      </w:r>
    </w:p>
    <w:p w14:paraId="46BAA9ED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0215BE25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REPRODUCTIVE</w:t>
      </w:r>
    </w:p>
    <w:p w14:paraId="5F0AE044" w14:textId="7B62C7CB" w:rsidR="009031BC" w:rsidRPr="00682D75" w:rsidRDefault="0049112E" w:rsidP="009031BC">
      <w:pPr>
        <w:spacing w:beforeLines="20" w:before="48" w:afterLines="20" w:after="48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None</w:t>
      </w:r>
    </w:p>
    <w:p w14:paraId="46C3A551" w14:textId="645D361D" w:rsidR="009151D8" w:rsidRPr="00682D75" w:rsidRDefault="009151D8" w:rsidP="0049112E">
      <w:pPr>
        <w:pStyle w:val="ListParagraph"/>
        <w:tabs>
          <w:tab w:val="left" w:pos="914"/>
        </w:tabs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5AA9EFC3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RESPIRATORY</w:t>
      </w:r>
    </w:p>
    <w:p w14:paraId="504B17E2" w14:textId="42D83BB0" w:rsidR="00B42D7C" w:rsidRPr="00682D75" w:rsidRDefault="00B42D7C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Thompson BT, Chambers RC, Liu KD. Acute respiratory distress syndrome. N Eng J Med 2017; 377: 562-572.</w:t>
      </w:r>
    </w:p>
    <w:p w14:paraId="230D40E5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4E7F5D9E" w14:textId="77777777" w:rsidR="009151D8" w:rsidRPr="00682D75" w:rsidRDefault="009151D8" w:rsidP="00F27C42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SEPSIS/SIRS/MODS</w:t>
      </w:r>
    </w:p>
    <w:p w14:paraId="7C96562B" w14:textId="77777777" w:rsidR="000250E1" w:rsidRPr="00F84C05" w:rsidRDefault="000A4993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Arise Investigators, ANZICS Clinical Trials Group. Goal-directed resuscitation for patients with early septic shock. N Engl J Med. 2014 Oct 16;2014(371):1496-506.</w:t>
      </w:r>
    </w:p>
    <w:p w14:paraId="3C80BB99" w14:textId="721C6FB7" w:rsidR="00682D75" w:rsidRPr="00F84C05" w:rsidRDefault="00682D75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Cannon JW. Hemorrhagic Shock. N Engl J Med; 2018 May 10;378(19):1852-1853.</w:t>
      </w:r>
    </w:p>
    <w:p w14:paraId="2155D113" w14:textId="1B3FBB6B" w:rsidR="009F0B2A" w:rsidRPr="00F84C05" w:rsidRDefault="009F0B2A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hAnsi="Times New Roman" w:cs="Times New Roman"/>
          <w:sz w:val="24"/>
          <w:szCs w:val="24"/>
        </w:rPr>
        <w:t xml:space="preserve">Drewry AM; </w:t>
      </w:r>
      <w:proofErr w:type="spellStart"/>
      <w:r w:rsidRPr="00F84C05">
        <w:rPr>
          <w:rFonts w:ascii="Times New Roman" w:hAnsi="Times New Roman" w:cs="Times New Roman"/>
          <w:sz w:val="24"/>
          <w:szCs w:val="24"/>
        </w:rPr>
        <w:t>Ablordeppey</w:t>
      </w:r>
      <w:proofErr w:type="spellEnd"/>
      <w:r w:rsidRPr="00F84C05">
        <w:rPr>
          <w:rFonts w:ascii="Times New Roman" w:hAnsi="Times New Roman" w:cs="Times New Roman"/>
          <w:sz w:val="24"/>
          <w:szCs w:val="24"/>
        </w:rPr>
        <w:t xml:space="preserve"> EA; Murray ET; et al. Antipyretic therapy in critically ill septic patients: a systematic review and meta-analysis. Crit Care Med 2017; 45(5): 806-813.</w:t>
      </w:r>
    </w:p>
    <w:p w14:paraId="7705B5C2" w14:textId="5F03C1AC" w:rsidR="009B1302" w:rsidRPr="00F84C05" w:rsidRDefault="009B1302" w:rsidP="00F658C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84C05">
        <w:rPr>
          <w:rFonts w:ascii="Times New Roman" w:eastAsiaTheme="minorEastAsia" w:hAnsi="Times New Roman" w:cs="Times New Roman"/>
          <w:sz w:val="24"/>
          <w:szCs w:val="24"/>
        </w:rPr>
        <w:t>Executive Summary: Surviving Sepsis Campaign: International Guidelines for the Management of Sepsis and Septic Shock 2021. Crit Care Med 2021;49</w:t>
      </w:r>
      <w:r w:rsidR="00301473" w:rsidRPr="00F84C05">
        <w:rPr>
          <w:rFonts w:ascii="Times New Roman" w:eastAsiaTheme="minorEastAsia" w:hAnsi="Times New Roman" w:cs="Times New Roman"/>
          <w:sz w:val="24"/>
          <w:szCs w:val="24"/>
        </w:rPr>
        <w:t>(11):1974-1982.</w:t>
      </w:r>
      <w:r w:rsidRPr="00F84C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945F41B" w14:textId="7C0497F4" w:rsidR="00EB5786" w:rsidRPr="00F84C05" w:rsidRDefault="005A6EBB" w:rsidP="00795418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hAnsi="Times New Roman" w:cs="Times New Roman"/>
          <w:sz w:val="24"/>
          <w:szCs w:val="24"/>
        </w:rPr>
        <w:t>Khanna A, English SW, Wang XS</w:t>
      </w:r>
      <w:r w:rsidR="00121DB9" w:rsidRPr="00F84C05">
        <w:rPr>
          <w:rFonts w:ascii="Times New Roman" w:hAnsi="Times New Roman" w:cs="Times New Roman"/>
          <w:sz w:val="24"/>
          <w:szCs w:val="24"/>
        </w:rPr>
        <w:t>, et al (ATHOS-3 Investigators). Angiotensin II for the treatment of vasodilatory shock. N Engl J Med 2017;377(5):419-430.</w:t>
      </w:r>
    </w:p>
    <w:p w14:paraId="312FA4AA" w14:textId="1DCA5598" w:rsidR="00F11E63" w:rsidRPr="00F84C05" w:rsidRDefault="00EB5786" w:rsidP="00795418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05">
        <w:rPr>
          <w:rFonts w:ascii="Times New Roman" w:hAnsi="Times New Roman" w:cs="Times New Roman"/>
          <w:sz w:val="24"/>
          <w:szCs w:val="24"/>
        </w:rPr>
        <w:t>Putzu</w:t>
      </w:r>
      <w:proofErr w:type="spellEnd"/>
      <w:r w:rsidRPr="00F84C05">
        <w:rPr>
          <w:rFonts w:ascii="Times New Roman" w:hAnsi="Times New Roman" w:cs="Times New Roman"/>
          <w:sz w:val="24"/>
          <w:szCs w:val="24"/>
        </w:rPr>
        <w:t xml:space="preserve"> A., Daems AM., Lopez-Delgado JC., Giordano VF., Landoni G. The Effect of Vitamin C on Clinical Outcome in Critically Ill Patients: A Systematic Review </w:t>
      </w:r>
      <w:proofErr w:type="gramStart"/>
      <w:r w:rsidRPr="00F84C05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84C05">
        <w:rPr>
          <w:rFonts w:ascii="Times New Roman" w:hAnsi="Times New Roman" w:cs="Times New Roman"/>
          <w:sz w:val="24"/>
          <w:szCs w:val="24"/>
        </w:rPr>
        <w:t xml:space="preserve"> Meta-Analysis of Randomized Controlled Trials. Crit Care Med 2019;47(6):774-783. </w:t>
      </w:r>
    </w:p>
    <w:p w14:paraId="2483A091" w14:textId="78607FFB" w:rsidR="00121DB9" w:rsidRPr="00F84C05" w:rsidRDefault="00121DB9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hAnsi="Times New Roman" w:cs="Times New Roman"/>
          <w:sz w:val="24"/>
          <w:szCs w:val="24"/>
        </w:rPr>
        <w:t xml:space="preserve">Seymour CW, </w:t>
      </w:r>
      <w:proofErr w:type="spellStart"/>
      <w:r w:rsidRPr="00F84C05">
        <w:rPr>
          <w:rFonts w:ascii="Times New Roman" w:hAnsi="Times New Roman" w:cs="Times New Roman"/>
          <w:sz w:val="24"/>
          <w:szCs w:val="24"/>
        </w:rPr>
        <w:t>Gesten</w:t>
      </w:r>
      <w:proofErr w:type="spellEnd"/>
      <w:r w:rsidRPr="00F84C05">
        <w:rPr>
          <w:rFonts w:ascii="Times New Roman" w:hAnsi="Times New Roman" w:cs="Times New Roman"/>
          <w:sz w:val="24"/>
          <w:szCs w:val="24"/>
        </w:rPr>
        <w:t xml:space="preserve"> F, Prescott HC, et al. Time to treatment and mortality during mandated emergency care for sepsis. N Eng J Med </w:t>
      </w:r>
      <w:proofErr w:type="gramStart"/>
      <w:r w:rsidRPr="00F84C05">
        <w:rPr>
          <w:rFonts w:ascii="Times New Roman" w:hAnsi="Times New Roman" w:cs="Times New Roman"/>
          <w:sz w:val="24"/>
          <w:szCs w:val="24"/>
        </w:rPr>
        <w:t>2017;376:2235</w:t>
      </w:r>
      <w:proofErr w:type="gramEnd"/>
      <w:r w:rsidRPr="00F84C05">
        <w:rPr>
          <w:rFonts w:ascii="Times New Roman" w:hAnsi="Times New Roman" w:cs="Times New Roman"/>
          <w:sz w:val="24"/>
          <w:szCs w:val="24"/>
        </w:rPr>
        <w:t>-2244.</w:t>
      </w:r>
    </w:p>
    <w:p w14:paraId="0FDF18DC" w14:textId="5D1B99D6" w:rsidR="00EF6977" w:rsidRPr="00F84C05" w:rsidRDefault="006E27E3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hAnsi="Times New Roman" w:cs="Times New Roman"/>
          <w:sz w:val="24"/>
          <w:szCs w:val="24"/>
        </w:rPr>
        <w:t>Silverstein DC, Santoro Beer KA. Controversies regarding choice of vasopressor therapy for management of septic shock in animals. J Vet Emerg Crit Care 2015;25(1):48-54.</w:t>
      </w:r>
      <w:r w:rsidR="00EF6977" w:rsidRPr="00F84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BB40F" w14:textId="686462C4" w:rsidR="006E5582" w:rsidRPr="00F84C05" w:rsidRDefault="00281926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hAnsi="Times New Roman" w:cs="Times New Roman"/>
          <w:sz w:val="24"/>
          <w:szCs w:val="24"/>
        </w:rPr>
        <w:t>Singer M, Deutschman CS, Seymour CW, et al. The third international consensus on definitions for sepsis and septic shock (Sepsis-3). J Am Med Assoc 2016;315(8):801-810.</w:t>
      </w:r>
      <w:r w:rsidR="006E5582" w:rsidRPr="00F84C05">
        <w:rPr>
          <w:rFonts w:ascii="Times New Roman" w:hAnsi="Times New Roman" w:cs="Times New Roman"/>
          <w:sz w:val="24"/>
          <w:szCs w:val="24"/>
        </w:rPr>
        <w:t xml:space="preserve">Whiles BB., Deis AS., Simpson SQ. Increased time to initial antimicrobial administration is associated with progression to septic shock in severe sepsis patients. Crit Care Med 2017; </w:t>
      </w:r>
      <w:r w:rsidR="00FF36A9" w:rsidRPr="00F84C05">
        <w:rPr>
          <w:rFonts w:ascii="Times New Roman" w:hAnsi="Times New Roman" w:cs="Times New Roman"/>
          <w:sz w:val="24"/>
          <w:szCs w:val="24"/>
        </w:rPr>
        <w:t xml:space="preserve">45(4): 623-629. </w:t>
      </w:r>
    </w:p>
    <w:p w14:paraId="52258FDC" w14:textId="3F26A786" w:rsidR="00836039" w:rsidRPr="00F84C05" w:rsidRDefault="00836039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84C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Wong DM, Ruby RE, Dembek KA, Barr BS, Reuss SM, </w:t>
      </w:r>
      <w:proofErr w:type="spellStart"/>
      <w:r w:rsidRPr="00F84C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Magdesian</w:t>
      </w:r>
      <w:proofErr w:type="spellEnd"/>
      <w:r w:rsidRPr="00F84C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KG, Olsen E, Burns T, </w:t>
      </w:r>
      <w:proofErr w:type="spellStart"/>
      <w:r w:rsidRPr="00F84C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Slovis</w:t>
      </w:r>
      <w:proofErr w:type="spellEnd"/>
      <w:r w:rsidRPr="00F84C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NM, Wilkins PA. Evaluation of updated sepsis scoring systems and systemic inflammatory response syndrome criteria and their association with sepsis in equine neonates. J Vet Intern Med; 2018 May;32(3):1185-1193.</w:t>
      </w:r>
    </w:p>
    <w:p w14:paraId="1310CF05" w14:textId="77777777" w:rsidR="00836039" w:rsidRPr="00F84C05" w:rsidRDefault="00836039" w:rsidP="00836039">
      <w:pPr>
        <w:pStyle w:val="ListParagraph"/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1FFBA33D" w14:textId="5732F3A2" w:rsidR="003517ED" w:rsidRPr="00795418" w:rsidRDefault="009151D8" w:rsidP="00795418">
      <w:pPr>
        <w:pStyle w:val="ListParagraph"/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SHOCK/ISCHEMIA/CPR</w:t>
      </w:r>
    </w:p>
    <w:p w14:paraId="2819003C" w14:textId="137E0AE1" w:rsidR="00D1636D" w:rsidRPr="00682D75" w:rsidRDefault="00D1636D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Lascarrou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JB.,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H., Le Gouge A.</w:t>
      </w:r>
      <w:proofErr w:type="gramStart"/>
      <w:r>
        <w:rPr>
          <w:rFonts w:ascii="Times New Roman" w:hAnsi="Times New Roman" w:cs="Times New Roman"/>
          <w:sz w:val="24"/>
          <w:szCs w:val="24"/>
        </w:rPr>
        <w:t>,  et 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Targeted Temperature Management for Cardiac Arrest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Nonshockable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Rhythm. N Engl J Med. 2019;</w:t>
      </w:r>
      <w:r w:rsidR="0032706D">
        <w:rPr>
          <w:rFonts w:ascii="Times New Roman" w:hAnsi="Times New Roman" w:cs="Times New Roman"/>
          <w:sz w:val="24"/>
          <w:szCs w:val="24"/>
        </w:rPr>
        <w:t xml:space="preserve">381(24):2327-2337. </w:t>
      </w:r>
    </w:p>
    <w:p w14:paraId="45CCE6F0" w14:textId="4200EC33" w:rsidR="002B2A27" w:rsidRPr="00682D75" w:rsidRDefault="002B2A27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Rosenstein PG, Tennent-Brown BS, Hughes D. Clinical use of plasma lactate concentration. Part 1: Physiology, pathophysiology, and measurement. J Vet Emerg Crit Care (San Antonio). 2018 Mar;28(2):85-105. </w:t>
      </w:r>
    </w:p>
    <w:p w14:paraId="1325AFE5" w14:textId="4039E31D" w:rsidR="002B2A27" w:rsidRPr="00682D75" w:rsidRDefault="002B2A27" w:rsidP="00F27C42">
      <w:pPr>
        <w:pStyle w:val="ListParagraph"/>
        <w:numPr>
          <w:ilvl w:val="0"/>
          <w:numId w:val="1"/>
        </w:numPr>
        <w:spacing w:beforeLines="20" w:before="48" w:afterLines="20" w:after="4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Rosenstein PG, Tennent-Brown BS, Hughes D. Clinical use of plasma lactate concentration. Part 2: Prognostic and diagnostic utility and the clinical management of hyperlactatemia. J Vet Emerg Crit Care (San Antonio); 2018 Mar;28(2):106-121.</w:t>
      </w:r>
    </w:p>
    <w:p w14:paraId="1ECC385F" w14:textId="77777777" w:rsidR="00FB6F48" w:rsidRPr="00682D75" w:rsidRDefault="00FB6F48" w:rsidP="00F27C42">
      <w:pPr>
        <w:pStyle w:val="ListParagraph"/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6C4988C2" w14:textId="77777777" w:rsidR="00FB6F48" w:rsidRPr="00682D75" w:rsidRDefault="000250E1" w:rsidP="00FB6F48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D75">
        <w:rPr>
          <w:rFonts w:ascii="Times New Roman" w:hAnsi="Times New Roman" w:cs="Times New Roman"/>
          <w:sz w:val="24"/>
          <w:szCs w:val="24"/>
          <w:u w:val="single"/>
        </w:rPr>
        <w:t>TRAUMA</w:t>
      </w:r>
    </w:p>
    <w:p w14:paraId="45FA7DF5" w14:textId="6CC317CF" w:rsidR="00BE4931" w:rsidRPr="00682D75" w:rsidRDefault="00BE4931" w:rsidP="00F23C76">
      <w:pPr>
        <w:pStyle w:val="ListParagraph"/>
        <w:numPr>
          <w:ilvl w:val="0"/>
          <w:numId w:val="1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682D75">
        <w:rPr>
          <w:rFonts w:ascii="Times New Roman" w:hAnsi="Times New Roman" w:cs="Times New Roman"/>
          <w:sz w:val="24"/>
          <w:szCs w:val="24"/>
        </w:rPr>
        <w:t>Sheridan RL. Fire Related Inhalation Injury</w:t>
      </w:r>
      <w:r w:rsidR="00650D4E" w:rsidRPr="00682D75">
        <w:rPr>
          <w:rFonts w:ascii="Times New Roman" w:hAnsi="Times New Roman" w:cs="Times New Roman"/>
          <w:sz w:val="24"/>
          <w:szCs w:val="24"/>
        </w:rPr>
        <w:t>.</w:t>
      </w:r>
      <w:r w:rsidRPr="00682D75">
        <w:rPr>
          <w:rFonts w:ascii="Times New Roman" w:hAnsi="Times New Roman" w:cs="Times New Roman"/>
          <w:sz w:val="24"/>
          <w:szCs w:val="24"/>
        </w:rPr>
        <w:t xml:space="preserve"> N Engl J</w:t>
      </w:r>
      <w:r w:rsidR="0009600C" w:rsidRPr="00682D75">
        <w:rPr>
          <w:rFonts w:ascii="Times New Roman" w:hAnsi="Times New Roman" w:cs="Times New Roman"/>
          <w:sz w:val="24"/>
          <w:szCs w:val="24"/>
        </w:rPr>
        <w:t xml:space="preserve"> M</w:t>
      </w:r>
      <w:r w:rsidRPr="00682D75">
        <w:rPr>
          <w:rFonts w:ascii="Times New Roman" w:hAnsi="Times New Roman" w:cs="Times New Roman"/>
          <w:sz w:val="24"/>
          <w:szCs w:val="24"/>
        </w:rPr>
        <w:t xml:space="preserve">ed. </w:t>
      </w:r>
      <w:proofErr w:type="gramStart"/>
      <w:r w:rsidRPr="00682D75">
        <w:rPr>
          <w:rFonts w:ascii="Times New Roman" w:hAnsi="Times New Roman" w:cs="Times New Roman"/>
          <w:sz w:val="24"/>
          <w:szCs w:val="24"/>
        </w:rPr>
        <w:t>2016;375:464</w:t>
      </w:r>
      <w:proofErr w:type="gramEnd"/>
      <w:r w:rsidRPr="00682D75">
        <w:rPr>
          <w:rFonts w:ascii="Times New Roman" w:hAnsi="Times New Roman" w:cs="Times New Roman"/>
          <w:sz w:val="24"/>
          <w:szCs w:val="24"/>
        </w:rPr>
        <w:t xml:space="preserve">-469. </w:t>
      </w:r>
    </w:p>
    <w:p w14:paraId="750EF334" w14:textId="55FA7F0F" w:rsidR="00994AB4" w:rsidRPr="00682D75" w:rsidRDefault="00994AB4" w:rsidP="00F27C42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05E9432F" w14:textId="60C328A8" w:rsidR="0086672E" w:rsidRPr="00682D75" w:rsidRDefault="0086672E" w:rsidP="00F27C42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39FB92EB" w14:textId="77777777" w:rsidR="0086672E" w:rsidRPr="00682D75" w:rsidRDefault="0086672E" w:rsidP="00F27C42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sectPr w:rsidR="0086672E" w:rsidRPr="00682D75" w:rsidSect="00DD4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3D96" w14:textId="77777777" w:rsidR="00770CDA" w:rsidRDefault="00770CDA">
      <w:pPr>
        <w:spacing w:after="0" w:line="240" w:lineRule="auto"/>
      </w:pPr>
      <w:r>
        <w:separator/>
      </w:r>
    </w:p>
  </w:endnote>
  <w:endnote w:type="continuationSeparator" w:id="0">
    <w:p w14:paraId="53A4D33A" w14:textId="77777777" w:rsidR="00770CDA" w:rsidRDefault="00770CDA">
      <w:pPr>
        <w:spacing w:after="0" w:line="240" w:lineRule="auto"/>
      </w:pPr>
      <w:r>
        <w:continuationSeparator/>
      </w:r>
    </w:p>
  </w:endnote>
  <w:endnote w:type="continuationNotice" w:id="1">
    <w:p w14:paraId="6D8D0ADE" w14:textId="77777777" w:rsidR="00770CDA" w:rsidRDefault="00770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C502" w14:textId="77777777" w:rsidR="00860561" w:rsidRDefault="00860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B141" w14:textId="77777777" w:rsidR="00860561" w:rsidRDefault="00860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B48F" w14:textId="77777777" w:rsidR="00860561" w:rsidRDefault="00860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EE6F" w14:textId="77777777" w:rsidR="00770CDA" w:rsidRDefault="00770CDA">
      <w:pPr>
        <w:spacing w:after="0" w:line="240" w:lineRule="auto"/>
      </w:pPr>
      <w:r>
        <w:separator/>
      </w:r>
    </w:p>
  </w:footnote>
  <w:footnote w:type="continuationSeparator" w:id="0">
    <w:p w14:paraId="75FF79FE" w14:textId="77777777" w:rsidR="00770CDA" w:rsidRDefault="00770CDA">
      <w:pPr>
        <w:spacing w:after="0" w:line="240" w:lineRule="auto"/>
      </w:pPr>
      <w:r>
        <w:continuationSeparator/>
      </w:r>
    </w:p>
  </w:footnote>
  <w:footnote w:type="continuationNotice" w:id="1">
    <w:p w14:paraId="1B612650" w14:textId="77777777" w:rsidR="00770CDA" w:rsidRDefault="00770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7A27" w14:textId="5E469E2F" w:rsidR="00860561" w:rsidRDefault="00860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0DAF" w14:textId="562F6C55" w:rsidR="00860561" w:rsidRDefault="00860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97BC" w14:textId="0A0E3652" w:rsidR="00860561" w:rsidRDefault="00860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BEA"/>
    <w:multiLevelType w:val="hybridMultilevel"/>
    <w:tmpl w:val="3FB43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AFE"/>
    <w:multiLevelType w:val="hybridMultilevel"/>
    <w:tmpl w:val="57E8CFA6"/>
    <w:lvl w:ilvl="0" w:tplc="5A364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2E3"/>
    <w:multiLevelType w:val="hybridMultilevel"/>
    <w:tmpl w:val="F43643A2"/>
    <w:lvl w:ilvl="0" w:tplc="0809000F">
      <w:start w:val="1"/>
      <w:numFmt w:val="decimal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BD03B11"/>
    <w:multiLevelType w:val="hybridMultilevel"/>
    <w:tmpl w:val="80525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6707">
    <w:abstractNumId w:val="3"/>
  </w:num>
  <w:num w:numId="2" w16cid:durableId="1519081788">
    <w:abstractNumId w:val="0"/>
  </w:num>
  <w:num w:numId="3" w16cid:durableId="860316014">
    <w:abstractNumId w:val="2"/>
  </w:num>
  <w:num w:numId="4" w16cid:durableId="17376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D8"/>
    <w:rsid w:val="000055CA"/>
    <w:rsid w:val="00020CC2"/>
    <w:rsid w:val="000233F2"/>
    <w:rsid w:val="000250E1"/>
    <w:rsid w:val="00032D5D"/>
    <w:rsid w:val="00033354"/>
    <w:rsid w:val="000347B6"/>
    <w:rsid w:val="0003731C"/>
    <w:rsid w:val="000539CD"/>
    <w:rsid w:val="00055D8F"/>
    <w:rsid w:val="00074A69"/>
    <w:rsid w:val="000763FC"/>
    <w:rsid w:val="00094D27"/>
    <w:rsid w:val="0009600C"/>
    <w:rsid w:val="000A14BC"/>
    <w:rsid w:val="000A2A9C"/>
    <w:rsid w:val="000A4993"/>
    <w:rsid w:val="000B2536"/>
    <w:rsid w:val="000B2BF4"/>
    <w:rsid w:val="00121DB9"/>
    <w:rsid w:val="00126190"/>
    <w:rsid w:val="00126D19"/>
    <w:rsid w:val="0013388E"/>
    <w:rsid w:val="00136EE9"/>
    <w:rsid w:val="00185073"/>
    <w:rsid w:val="0019108B"/>
    <w:rsid w:val="00193960"/>
    <w:rsid w:val="001A1189"/>
    <w:rsid w:val="001A6643"/>
    <w:rsid w:val="001B1DF7"/>
    <w:rsid w:val="001B7D48"/>
    <w:rsid w:val="001E58B9"/>
    <w:rsid w:val="001F7EDA"/>
    <w:rsid w:val="00211EEF"/>
    <w:rsid w:val="002232BF"/>
    <w:rsid w:val="002278C2"/>
    <w:rsid w:val="00243887"/>
    <w:rsid w:val="002554BF"/>
    <w:rsid w:val="00261AF8"/>
    <w:rsid w:val="00263A7C"/>
    <w:rsid w:val="002808D1"/>
    <w:rsid w:val="00281926"/>
    <w:rsid w:val="00283C8E"/>
    <w:rsid w:val="002A5EDA"/>
    <w:rsid w:val="002B2A27"/>
    <w:rsid w:val="002B34B8"/>
    <w:rsid w:val="002B6940"/>
    <w:rsid w:val="002D078C"/>
    <w:rsid w:val="002D71D7"/>
    <w:rsid w:val="002E14B6"/>
    <w:rsid w:val="002F0BF6"/>
    <w:rsid w:val="002F1B35"/>
    <w:rsid w:val="00301473"/>
    <w:rsid w:val="00311B5E"/>
    <w:rsid w:val="00316416"/>
    <w:rsid w:val="0032706D"/>
    <w:rsid w:val="00341AC0"/>
    <w:rsid w:val="003517ED"/>
    <w:rsid w:val="003844F1"/>
    <w:rsid w:val="003862F2"/>
    <w:rsid w:val="00390F23"/>
    <w:rsid w:val="0039641F"/>
    <w:rsid w:val="003A53F8"/>
    <w:rsid w:val="003A69AA"/>
    <w:rsid w:val="003A78D4"/>
    <w:rsid w:val="003A7B1B"/>
    <w:rsid w:val="003B407D"/>
    <w:rsid w:val="003B52C9"/>
    <w:rsid w:val="003B62B1"/>
    <w:rsid w:val="003B68DF"/>
    <w:rsid w:val="003F67F0"/>
    <w:rsid w:val="0041149F"/>
    <w:rsid w:val="00427A01"/>
    <w:rsid w:val="00431677"/>
    <w:rsid w:val="00431AB5"/>
    <w:rsid w:val="00440783"/>
    <w:rsid w:val="0045138F"/>
    <w:rsid w:val="00451838"/>
    <w:rsid w:val="00472F9C"/>
    <w:rsid w:val="004737D8"/>
    <w:rsid w:val="00474660"/>
    <w:rsid w:val="00483518"/>
    <w:rsid w:val="0049112E"/>
    <w:rsid w:val="00491F54"/>
    <w:rsid w:val="0049432F"/>
    <w:rsid w:val="00495325"/>
    <w:rsid w:val="004A29D4"/>
    <w:rsid w:val="004B1751"/>
    <w:rsid w:val="004C437D"/>
    <w:rsid w:val="004D3EDB"/>
    <w:rsid w:val="004D4457"/>
    <w:rsid w:val="004E20C6"/>
    <w:rsid w:val="004F3EA4"/>
    <w:rsid w:val="004F4157"/>
    <w:rsid w:val="00500549"/>
    <w:rsid w:val="00510C9F"/>
    <w:rsid w:val="00512C05"/>
    <w:rsid w:val="00513051"/>
    <w:rsid w:val="00525D9E"/>
    <w:rsid w:val="0053020B"/>
    <w:rsid w:val="00545EE1"/>
    <w:rsid w:val="00573A98"/>
    <w:rsid w:val="00577339"/>
    <w:rsid w:val="00587DA9"/>
    <w:rsid w:val="00594F8E"/>
    <w:rsid w:val="00596705"/>
    <w:rsid w:val="005A6EBB"/>
    <w:rsid w:val="00607AAF"/>
    <w:rsid w:val="00610E4A"/>
    <w:rsid w:val="00611B9C"/>
    <w:rsid w:val="006143CE"/>
    <w:rsid w:val="006226C3"/>
    <w:rsid w:val="00635D38"/>
    <w:rsid w:val="00646559"/>
    <w:rsid w:val="00650D4E"/>
    <w:rsid w:val="006700AD"/>
    <w:rsid w:val="00672BE1"/>
    <w:rsid w:val="00682D75"/>
    <w:rsid w:val="00683561"/>
    <w:rsid w:val="006853D4"/>
    <w:rsid w:val="00685859"/>
    <w:rsid w:val="006A13A4"/>
    <w:rsid w:val="006B09E2"/>
    <w:rsid w:val="006B29B8"/>
    <w:rsid w:val="006C09B0"/>
    <w:rsid w:val="006C4B55"/>
    <w:rsid w:val="006D56D9"/>
    <w:rsid w:val="006E27E3"/>
    <w:rsid w:val="006E28FD"/>
    <w:rsid w:val="006E5582"/>
    <w:rsid w:val="006F4128"/>
    <w:rsid w:val="007000ED"/>
    <w:rsid w:val="0070644F"/>
    <w:rsid w:val="0072066F"/>
    <w:rsid w:val="00737C97"/>
    <w:rsid w:val="007414D0"/>
    <w:rsid w:val="007470D6"/>
    <w:rsid w:val="00750DCD"/>
    <w:rsid w:val="007676A2"/>
    <w:rsid w:val="00770CDA"/>
    <w:rsid w:val="00772F48"/>
    <w:rsid w:val="00782DE5"/>
    <w:rsid w:val="00792712"/>
    <w:rsid w:val="00795418"/>
    <w:rsid w:val="007955E3"/>
    <w:rsid w:val="007A65C1"/>
    <w:rsid w:val="007C0211"/>
    <w:rsid w:val="007E0E39"/>
    <w:rsid w:val="007E62E1"/>
    <w:rsid w:val="007E7114"/>
    <w:rsid w:val="0080068F"/>
    <w:rsid w:val="00810461"/>
    <w:rsid w:val="00813446"/>
    <w:rsid w:val="008264F5"/>
    <w:rsid w:val="00832DE2"/>
    <w:rsid w:val="00833335"/>
    <w:rsid w:val="00833D15"/>
    <w:rsid w:val="00836039"/>
    <w:rsid w:val="00836F1F"/>
    <w:rsid w:val="008531E1"/>
    <w:rsid w:val="00855DB5"/>
    <w:rsid w:val="00860561"/>
    <w:rsid w:val="008645DC"/>
    <w:rsid w:val="0086672E"/>
    <w:rsid w:val="00870800"/>
    <w:rsid w:val="00895D19"/>
    <w:rsid w:val="008E1D77"/>
    <w:rsid w:val="008F3EBD"/>
    <w:rsid w:val="00901342"/>
    <w:rsid w:val="009026EB"/>
    <w:rsid w:val="009031BC"/>
    <w:rsid w:val="00906312"/>
    <w:rsid w:val="009151D8"/>
    <w:rsid w:val="00921F82"/>
    <w:rsid w:val="00925022"/>
    <w:rsid w:val="00936EB6"/>
    <w:rsid w:val="00964665"/>
    <w:rsid w:val="00964C6A"/>
    <w:rsid w:val="00971D75"/>
    <w:rsid w:val="00977DCE"/>
    <w:rsid w:val="00991E7C"/>
    <w:rsid w:val="00994AB4"/>
    <w:rsid w:val="009976DF"/>
    <w:rsid w:val="009B1302"/>
    <w:rsid w:val="009B589A"/>
    <w:rsid w:val="009C09C6"/>
    <w:rsid w:val="009C4D35"/>
    <w:rsid w:val="009C52B3"/>
    <w:rsid w:val="009F0B2A"/>
    <w:rsid w:val="009F7681"/>
    <w:rsid w:val="00A02A73"/>
    <w:rsid w:val="00A07929"/>
    <w:rsid w:val="00A12C34"/>
    <w:rsid w:val="00A13C0A"/>
    <w:rsid w:val="00A22CCB"/>
    <w:rsid w:val="00A238F5"/>
    <w:rsid w:val="00A3055A"/>
    <w:rsid w:val="00A34D76"/>
    <w:rsid w:val="00A36EA9"/>
    <w:rsid w:val="00A54557"/>
    <w:rsid w:val="00A55FEA"/>
    <w:rsid w:val="00A63DCC"/>
    <w:rsid w:val="00A65136"/>
    <w:rsid w:val="00A66236"/>
    <w:rsid w:val="00A86872"/>
    <w:rsid w:val="00A87160"/>
    <w:rsid w:val="00AA17FD"/>
    <w:rsid w:val="00AA384E"/>
    <w:rsid w:val="00AA6727"/>
    <w:rsid w:val="00AB58EE"/>
    <w:rsid w:val="00AD0905"/>
    <w:rsid w:val="00AE7D79"/>
    <w:rsid w:val="00AF1946"/>
    <w:rsid w:val="00AF3564"/>
    <w:rsid w:val="00AF5A35"/>
    <w:rsid w:val="00AF7AB0"/>
    <w:rsid w:val="00B00346"/>
    <w:rsid w:val="00B0659B"/>
    <w:rsid w:val="00B15872"/>
    <w:rsid w:val="00B16BB5"/>
    <w:rsid w:val="00B313D5"/>
    <w:rsid w:val="00B34811"/>
    <w:rsid w:val="00B35354"/>
    <w:rsid w:val="00B371E4"/>
    <w:rsid w:val="00B42D7C"/>
    <w:rsid w:val="00B44C02"/>
    <w:rsid w:val="00B46025"/>
    <w:rsid w:val="00B60266"/>
    <w:rsid w:val="00B766AF"/>
    <w:rsid w:val="00B76759"/>
    <w:rsid w:val="00B829C5"/>
    <w:rsid w:val="00B9009B"/>
    <w:rsid w:val="00BA17E9"/>
    <w:rsid w:val="00BA1D06"/>
    <w:rsid w:val="00BA4300"/>
    <w:rsid w:val="00BA7ED1"/>
    <w:rsid w:val="00BB273A"/>
    <w:rsid w:val="00BB4FED"/>
    <w:rsid w:val="00BB5C8C"/>
    <w:rsid w:val="00BC0E07"/>
    <w:rsid w:val="00BD0347"/>
    <w:rsid w:val="00BD34FA"/>
    <w:rsid w:val="00BE4931"/>
    <w:rsid w:val="00BE785C"/>
    <w:rsid w:val="00BF1D70"/>
    <w:rsid w:val="00BF6543"/>
    <w:rsid w:val="00C01476"/>
    <w:rsid w:val="00C04158"/>
    <w:rsid w:val="00C04752"/>
    <w:rsid w:val="00C07885"/>
    <w:rsid w:val="00C22673"/>
    <w:rsid w:val="00C22887"/>
    <w:rsid w:val="00C27947"/>
    <w:rsid w:val="00C33D8D"/>
    <w:rsid w:val="00C368CE"/>
    <w:rsid w:val="00C426CA"/>
    <w:rsid w:val="00C567BB"/>
    <w:rsid w:val="00C76925"/>
    <w:rsid w:val="00C77014"/>
    <w:rsid w:val="00C775B4"/>
    <w:rsid w:val="00C91201"/>
    <w:rsid w:val="00CA6A3D"/>
    <w:rsid w:val="00CB3B4F"/>
    <w:rsid w:val="00CC2530"/>
    <w:rsid w:val="00CC64EB"/>
    <w:rsid w:val="00CE65F5"/>
    <w:rsid w:val="00CF7646"/>
    <w:rsid w:val="00D06BEA"/>
    <w:rsid w:val="00D1636D"/>
    <w:rsid w:val="00D3458F"/>
    <w:rsid w:val="00D65B11"/>
    <w:rsid w:val="00D72178"/>
    <w:rsid w:val="00D75DB6"/>
    <w:rsid w:val="00DB0D6C"/>
    <w:rsid w:val="00DC5672"/>
    <w:rsid w:val="00DD4F05"/>
    <w:rsid w:val="00DF5C4E"/>
    <w:rsid w:val="00E16549"/>
    <w:rsid w:val="00E2285A"/>
    <w:rsid w:val="00E2770A"/>
    <w:rsid w:val="00E3224A"/>
    <w:rsid w:val="00E4403A"/>
    <w:rsid w:val="00E450C2"/>
    <w:rsid w:val="00E45515"/>
    <w:rsid w:val="00E717F4"/>
    <w:rsid w:val="00E83039"/>
    <w:rsid w:val="00E91029"/>
    <w:rsid w:val="00E96C9B"/>
    <w:rsid w:val="00EB5786"/>
    <w:rsid w:val="00EB6677"/>
    <w:rsid w:val="00EC4370"/>
    <w:rsid w:val="00ED039F"/>
    <w:rsid w:val="00EE06D5"/>
    <w:rsid w:val="00EF48F9"/>
    <w:rsid w:val="00EF57FF"/>
    <w:rsid w:val="00EF6977"/>
    <w:rsid w:val="00F11E63"/>
    <w:rsid w:val="00F23C76"/>
    <w:rsid w:val="00F27C42"/>
    <w:rsid w:val="00F34243"/>
    <w:rsid w:val="00F3595E"/>
    <w:rsid w:val="00F36563"/>
    <w:rsid w:val="00F475DC"/>
    <w:rsid w:val="00F47945"/>
    <w:rsid w:val="00F60F44"/>
    <w:rsid w:val="00F62E12"/>
    <w:rsid w:val="00F658C2"/>
    <w:rsid w:val="00F6628E"/>
    <w:rsid w:val="00F70E61"/>
    <w:rsid w:val="00F7104A"/>
    <w:rsid w:val="00F84C05"/>
    <w:rsid w:val="00F85BA9"/>
    <w:rsid w:val="00F878AB"/>
    <w:rsid w:val="00F9404B"/>
    <w:rsid w:val="00FA1702"/>
    <w:rsid w:val="00FB487C"/>
    <w:rsid w:val="00FB4C25"/>
    <w:rsid w:val="00FB5067"/>
    <w:rsid w:val="00FB57C3"/>
    <w:rsid w:val="00FB6F48"/>
    <w:rsid w:val="00FD1A4F"/>
    <w:rsid w:val="00FD6093"/>
    <w:rsid w:val="00FD65E6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C7B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D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1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1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D8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51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D8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8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5C"/>
    <w:rPr>
      <w:rFonts w:ascii="Times New Roman" w:eastAsiaTheme="minorHAns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8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E78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85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8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85C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4AB4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1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Goggs</dc:creator>
  <cp:keywords/>
  <dc:description/>
  <cp:lastModifiedBy>Kopper, Jamie [V C S]</cp:lastModifiedBy>
  <cp:revision>6</cp:revision>
  <cp:lastPrinted>2020-02-20T20:38:00Z</cp:lastPrinted>
  <dcterms:created xsi:type="dcterms:W3CDTF">2024-12-19T16:38:00Z</dcterms:created>
  <dcterms:modified xsi:type="dcterms:W3CDTF">2024-12-19T16:42:00Z</dcterms:modified>
  <cp:category/>
</cp:coreProperties>
</file>